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4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3289"/>
        <w:gridCol w:w="3641"/>
        <w:gridCol w:w="3641"/>
      </w:tblGrid>
      <w:tr w:rsidR="00F236A4" w14:paraId="485CFD31" w14:textId="77777777" w:rsidTr="00F236A4">
        <w:trPr>
          <w:trHeight w:val="657"/>
        </w:trPr>
        <w:tc>
          <w:tcPr>
            <w:tcW w:w="3546" w:type="dxa"/>
          </w:tcPr>
          <w:p w14:paraId="6788F1BC" w14:textId="615B0D6F" w:rsidR="00F236A4" w:rsidRPr="00C544A1" w:rsidRDefault="00F236A4" w:rsidP="00F236A4">
            <w:pPr>
              <w:rPr>
                <w:i/>
                <w:iCs/>
              </w:rPr>
            </w:pPr>
            <w:r w:rsidRPr="00C544A1">
              <w:rPr>
                <w:i/>
                <w:iCs/>
              </w:rPr>
              <w:t xml:space="preserve">PCSI </w:t>
            </w:r>
            <w:r w:rsidR="00F43B44">
              <w:rPr>
                <w:i/>
                <w:iCs/>
              </w:rPr>
              <w:t>Balzac</w:t>
            </w:r>
          </w:p>
        </w:tc>
        <w:tc>
          <w:tcPr>
            <w:tcW w:w="3289" w:type="dxa"/>
          </w:tcPr>
          <w:p w14:paraId="6F61D740" w14:textId="77777777" w:rsidR="00F236A4" w:rsidRPr="00EF413D" w:rsidRDefault="00F236A4" w:rsidP="00F236A4">
            <w:pPr>
              <w:jc w:val="center"/>
              <w:rPr>
                <w:b/>
                <w:bCs/>
                <w:sz w:val="24"/>
                <w:szCs w:val="24"/>
              </w:rPr>
            </w:pPr>
            <w:r w:rsidRPr="00EF413D">
              <w:rPr>
                <w:b/>
                <w:bCs/>
                <w:sz w:val="24"/>
                <w:szCs w:val="24"/>
              </w:rPr>
              <w:t>Programme de colle</w:t>
            </w:r>
          </w:p>
          <w:p w14:paraId="78180E30" w14:textId="0E070BFC" w:rsidR="00F236A4" w:rsidRPr="007F68A1" w:rsidRDefault="00F236A4" w:rsidP="00F236A4">
            <w:pPr>
              <w:jc w:val="center"/>
              <w:rPr>
                <w:b/>
                <w:bCs/>
              </w:rPr>
            </w:pPr>
            <w:r w:rsidRPr="00EF413D">
              <w:rPr>
                <w:b/>
                <w:bCs/>
                <w:sz w:val="24"/>
                <w:szCs w:val="24"/>
              </w:rPr>
              <w:t>Chimie</w:t>
            </w:r>
          </w:p>
        </w:tc>
        <w:tc>
          <w:tcPr>
            <w:tcW w:w="3641" w:type="dxa"/>
          </w:tcPr>
          <w:p w14:paraId="7A64B9C9" w14:textId="54FFABC2" w:rsidR="00F236A4" w:rsidRDefault="00F236A4" w:rsidP="00F236A4">
            <w:pPr>
              <w:jc w:val="right"/>
              <w:rPr>
                <w:b/>
                <w:bCs/>
              </w:rPr>
            </w:pPr>
            <w:r w:rsidRPr="007F68A1">
              <w:rPr>
                <w:b/>
                <w:bCs/>
              </w:rPr>
              <w:t xml:space="preserve">Semaine </w:t>
            </w:r>
            <w:r w:rsidR="00F11406">
              <w:rPr>
                <w:b/>
                <w:bCs/>
              </w:rPr>
              <w:t>6</w:t>
            </w:r>
          </w:p>
          <w:p w14:paraId="4D482785" w14:textId="56F4F390" w:rsidR="00F236A4" w:rsidRPr="007F68A1" w:rsidRDefault="00F11406" w:rsidP="00F236A4">
            <w:pPr>
              <w:jc w:val="right"/>
              <w:rPr>
                <w:b/>
                <w:bCs/>
              </w:rPr>
            </w:pPr>
            <w:r>
              <w:rPr>
                <w:i/>
                <w:iCs/>
              </w:rPr>
              <w:t>13</w:t>
            </w:r>
            <w:r w:rsidR="00F236A4" w:rsidRPr="007F68A1">
              <w:rPr>
                <w:i/>
                <w:iCs/>
              </w:rPr>
              <w:t>/</w:t>
            </w:r>
            <w:r w:rsidR="00C85565">
              <w:rPr>
                <w:i/>
                <w:iCs/>
              </w:rPr>
              <w:t>10</w:t>
            </w:r>
            <w:r w:rsidR="00F236A4" w:rsidRPr="007F68A1">
              <w:rPr>
                <w:i/>
                <w:iCs/>
              </w:rPr>
              <w:t xml:space="preserve"> au </w:t>
            </w:r>
            <w:r w:rsidR="00C85565">
              <w:rPr>
                <w:i/>
                <w:iCs/>
              </w:rPr>
              <w:t>1</w:t>
            </w:r>
            <w:r>
              <w:rPr>
                <w:i/>
                <w:iCs/>
              </w:rPr>
              <w:t>7</w:t>
            </w:r>
            <w:r w:rsidR="00F236A4" w:rsidRPr="007F68A1">
              <w:rPr>
                <w:i/>
                <w:iCs/>
              </w:rPr>
              <w:t>/</w:t>
            </w:r>
            <w:r w:rsidR="00B90F7F">
              <w:rPr>
                <w:i/>
                <w:iCs/>
              </w:rPr>
              <w:t>10</w:t>
            </w:r>
          </w:p>
        </w:tc>
        <w:tc>
          <w:tcPr>
            <w:tcW w:w="3641" w:type="dxa"/>
          </w:tcPr>
          <w:p w14:paraId="6894942A" w14:textId="624D5F26" w:rsidR="00F236A4" w:rsidRDefault="00F236A4" w:rsidP="00F236A4">
            <w:pPr>
              <w:jc w:val="right"/>
              <w:rPr>
                <w:b/>
                <w:bCs/>
              </w:rPr>
            </w:pPr>
            <w:r w:rsidRPr="007F68A1">
              <w:rPr>
                <w:b/>
                <w:bCs/>
              </w:rPr>
              <w:t xml:space="preserve">Semaine </w:t>
            </w:r>
            <w:r>
              <w:rPr>
                <w:b/>
                <w:bCs/>
              </w:rPr>
              <w:t>2</w:t>
            </w:r>
          </w:p>
          <w:p w14:paraId="0BAEB4DB" w14:textId="514711F0" w:rsidR="00F236A4" w:rsidRDefault="00F236A4" w:rsidP="00F236A4">
            <w:pPr>
              <w:jc w:val="right"/>
            </w:pPr>
            <w:r w:rsidRPr="00C544A1">
              <w:t>0</w:t>
            </w:r>
            <w:r w:rsidRPr="007F68A1">
              <w:rPr>
                <w:i/>
                <w:iCs/>
              </w:rPr>
              <w:t>8/09 au 12/</w:t>
            </w:r>
            <w:r>
              <w:rPr>
                <w:i/>
                <w:iCs/>
              </w:rPr>
              <w:t>09</w:t>
            </w:r>
          </w:p>
        </w:tc>
      </w:tr>
    </w:tbl>
    <w:p w14:paraId="5D85AAEB" w14:textId="77777777" w:rsidR="00C544A1" w:rsidRDefault="00C544A1" w:rsidP="007F68A1">
      <w:pPr>
        <w:spacing w:after="0" w:line="240" w:lineRule="auto"/>
      </w:pPr>
    </w:p>
    <w:p w14:paraId="10DBCC6A" w14:textId="77777777" w:rsidR="00C544A1" w:rsidRDefault="00C544A1" w:rsidP="007F68A1">
      <w:pPr>
        <w:spacing w:after="0" w:line="240" w:lineRule="auto"/>
      </w:pPr>
    </w:p>
    <w:p w14:paraId="3DA466A8" w14:textId="68651750" w:rsidR="00EF413D" w:rsidRDefault="00EF413D" w:rsidP="007F68A1">
      <w:pPr>
        <w:spacing w:after="0" w:line="240" w:lineRule="auto"/>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517"/>
      </w:tblGrid>
      <w:tr w:rsidR="00EF413D" w14:paraId="7304A10D" w14:textId="77777777" w:rsidTr="008979DD">
        <w:trPr>
          <w:trHeight w:val="486"/>
        </w:trPr>
        <w:tc>
          <w:tcPr>
            <w:tcW w:w="2689" w:type="dxa"/>
            <w:vAlign w:val="center"/>
          </w:tcPr>
          <w:p w14:paraId="25F5EF7F" w14:textId="5D923B0C" w:rsidR="00EF413D" w:rsidRDefault="00EF413D" w:rsidP="00EF413D">
            <w:r>
              <w:t>Chapitre</w:t>
            </w:r>
            <w:r w:rsidR="00E866BD">
              <w:t>(s)</w:t>
            </w:r>
            <w:r>
              <w:t xml:space="preserve"> au programme :</w:t>
            </w:r>
          </w:p>
        </w:tc>
        <w:tc>
          <w:tcPr>
            <w:tcW w:w="7517" w:type="dxa"/>
            <w:tcBorders>
              <w:top w:val="single" w:sz="4" w:space="0" w:color="auto"/>
              <w:left w:val="single" w:sz="4" w:space="0" w:color="auto"/>
              <w:bottom w:val="single" w:sz="4" w:space="0" w:color="auto"/>
              <w:right w:val="single" w:sz="4" w:space="0" w:color="auto"/>
            </w:tcBorders>
            <w:vAlign w:val="center"/>
          </w:tcPr>
          <w:p w14:paraId="61BB8C5C" w14:textId="6E3ADD46" w:rsidR="003A51DD" w:rsidRPr="007861E8" w:rsidRDefault="00B90F7F" w:rsidP="00E866BD">
            <w:pPr>
              <w:rPr>
                <w:b/>
                <w:bCs/>
                <w:sz w:val="24"/>
                <w:szCs w:val="24"/>
              </w:rPr>
            </w:pPr>
            <w:r>
              <w:rPr>
                <w:b/>
                <w:bCs/>
                <w:sz w:val="24"/>
                <w:szCs w:val="24"/>
              </w:rPr>
              <w:t xml:space="preserve">SP1 </w:t>
            </w:r>
            <w:proofErr w:type="gramStart"/>
            <w:r w:rsidRPr="008979DD">
              <w:rPr>
                <w:b/>
                <w:bCs/>
                <w:sz w:val="24"/>
                <w:szCs w:val="24"/>
              </w:rPr>
              <w:t xml:space="preserve">– </w:t>
            </w:r>
            <w:r>
              <w:rPr>
                <w:b/>
                <w:bCs/>
                <w:sz w:val="24"/>
                <w:szCs w:val="24"/>
              </w:rPr>
              <w:t xml:space="preserve"> </w:t>
            </w:r>
            <w:r w:rsidRPr="00B90F7F">
              <w:rPr>
                <w:b/>
                <w:bCs/>
                <w:sz w:val="24"/>
                <w:szCs w:val="24"/>
              </w:rPr>
              <w:t>Structure</w:t>
            </w:r>
            <w:proofErr w:type="gramEnd"/>
            <w:r w:rsidRPr="00B90F7F">
              <w:rPr>
                <w:b/>
                <w:bCs/>
                <w:sz w:val="24"/>
                <w:szCs w:val="24"/>
              </w:rPr>
              <w:t xml:space="preserve"> des entités chimiques</w:t>
            </w:r>
          </w:p>
        </w:tc>
      </w:tr>
    </w:tbl>
    <w:p w14:paraId="67F5D09E" w14:textId="6A1A7150" w:rsidR="003A51DD" w:rsidRDefault="003A51DD" w:rsidP="007F68A1">
      <w:pPr>
        <w:spacing w:after="0" w:line="240" w:lineRule="auto"/>
      </w:pPr>
    </w:p>
    <w:p w14:paraId="4A701551" w14:textId="77777777" w:rsidR="003A51DD" w:rsidRDefault="003A51DD" w:rsidP="007F68A1">
      <w:pPr>
        <w:spacing w:after="0" w:line="240" w:lineRule="auto"/>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46"/>
        <w:gridCol w:w="283"/>
        <w:gridCol w:w="9327"/>
      </w:tblGrid>
      <w:tr w:rsidR="003A51DD" w14:paraId="1C6FBFA8" w14:textId="77777777" w:rsidTr="003A51DD">
        <w:trPr>
          <w:trHeight w:val="955"/>
        </w:trPr>
        <w:tc>
          <w:tcPr>
            <w:tcW w:w="846" w:type="dxa"/>
            <w:shd w:val="clear" w:color="auto" w:fill="FBE4D5" w:themeFill="accent2" w:themeFillTint="33"/>
            <w:vAlign w:val="center"/>
          </w:tcPr>
          <w:p w14:paraId="23EE5F19" w14:textId="3CB65248" w:rsidR="003A51DD" w:rsidRDefault="003A51DD" w:rsidP="003A51DD">
            <w:r w:rsidRPr="00445C99">
              <w:rPr>
                <w:noProof/>
                <w:sz w:val="20"/>
                <w:szCs w:val="20"/>
              </w:rPr>
              <w:drawing>
                <wp:inline distT="0" distB="0" distL="0" distR="0" wp14:anchorId="397F7497" wp14:editId="7B08B396">
                  <wp:extent cx="314325" cy="314325"/>
                  <wp:effectExtent l="0" t="0" r="0" b="0"/>
                  <wp:docPr id="807369219" name="Picture 807369219" descr="ATTENTION - Commune de Burcin">
                    <a:extLst xmlns:a="http://schemas.openxmlformats.org/drawingml/2006/main">
                      <a:ext uri="{FF2B5EF4-FFF2-40B4-BE49-F238E27FC236}">
                        <a16:creationId xmlns:a16="http://schemas.microsoft.com/office/drawing/2014/main" id="{3528BA9D-CD7F-CA3A-2F0F-C704211848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TTENTION - Commune de Burcin">
                            <a:extLst>
                              <a:ext uri="{FF2B5EF4-FFF2-40B4-BE49-F238E27FC236}">
                                <a16:creationId xmlns:a16="http://schemas.microsoft.com/office/drawing/2014/main" id="{3528BA9D-CD7F-CA3A-2F0F-C7042118489B}"/>
                              </a:ext>
                            </a:extLst>
                          </pic:cNvPr>
                          <pic:cNvPicPr>
                            <a:picLocks noChangeAspect="1"/>
                          </pic:cNvPicPr>
                        </pic:nvPicPr>
                        <pic:blipFill>
                          <a:blip r:embed="rId5" cstate="print">
                            <a:extLst>
                              <a:ext uri="{BEBA8EAE-BF5A-486C-A8C5-ECC9F3942E4B}">
                                <a14:imgProps xmlns:a14="http://schemas.microsoft.com/office/drawing/2010/main">
                                  <a14:imgLayer r:embed="rId6">
                                    <a14:imgEffect>
                                      <a14:backgroundRemoval t="0" b="96444" l="0" r="99111">
                                        <a14:foregroundMark x1="45556" y1="38000" x2="47556" y2="52222"/>
                                        <a14:foregroundMark x1="56000" y1="36667" x2="51333" y2="56667"/>
                                        <a14:foregroundMark x1="49333" y1="58667" x2="49556" y2="66444"/>
                                        <a14:foregroundMark x1="51333" y1="73778" x2="51111" y2="7866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14581" cy="314581"/>
                          </a:xfrm>
                          <a:prstGeom prst="rect">
                            <a:avLst/>
                          </a:prstGeom>
                          <a:noFill/>
                        </pic:spPr>
                      </pic:pic>
                    </a:graphicData>
                  </a:graphic>
                </wp:inline>
              </w:drawing>
            </w:r>
          </w:p>
        </w:tc>
        <w:tc>
          <w:tcPr>
            <w:tcW w:w="283" w:type="dxa"/>
            <w:shd w:val="clear" w:color="auto" w:fill="FBE4D5" w:themeFill="accent2" w:themeFillTint="33"/>
            <w:vAlign w:val="center"/>
          </w:tcPr>
          <w:p w14:paraId="0AC318DA" w14:textId="77777777" w:rsidR="003A51DD" w:rsidRDefault="003A51DD" w:rsidP="003A51DD"/>
        </w:tc>
        <w:tc>
          <w:tcPr>
            <w:tcW w:w="9327" w:type="dxa"/>
            <w:shd w:val="clear" w:color="auto" w:fill="FBE4D5" w:themeFill="accent2" w:themeFillTint="33"/>
            <w:vAlign w:val="center"/>
          </w:tcPr>
          <w:p w14:paraId="799D23B5" w14:textId="33631EA4" w:rsidR="003A51DD" w:rsidRPr="007861E8" w:rsidRDefault="003A51DD" w:rsidP="007861E8">
            <w:pPr>
              <w:jc w:val="both"/>
              <w:rPr>
                <w:sz w:val="20"/>
                <w:szCs w:val="20"/>
              </w:rPr>
            </w:pPr>
            <w:r w:rsidRPr="007861E8">
              <w:t xml:space="preserve">Cette semaine, </w:t>
            </w:r>
            <w:r w:rsidR="007861E8" w:rsidRPr="007861E8">
              <w:t>avant de répondre à</w:t>
            </w:r>
            <w:r w:rsidRPr="007861E8">
              <w:t xml:space="preserve"> la question de cours et de</w:t>
            </w:r>
            <w:r w:rsidR="007861E8" w:rsidRPr="007861E8">
              <w:t xml:space="preserve"> traiter les</w:t>
            </w:r>
            <w:r w:rsidRPr="007861E8">
              <w:t xml:space="preserve"> exercices sur le chapitre SP1, les étudiants </w:t>
            </w:r>
            <w:r w:rsidR="007861E8" w:rsidRPr="007861E8">
              <w:t>devront</w:t>
            </w:r>
            <w:r w:rsidRPr="007861E8">
              <w:t xml:space="preserve"> compléter</w:t>
            </w:r>
            <w:r w:rsidR="007861E8" w:rsidRPr="007861E8">
              <w:t xml:space="preserve"> en </w:t>
            </w:r>
            <w:r w:rsidR="007861E8" w:rsidRPr="007861E8">
              <w:rPr>
                <w:b/>
                <w:bCs/>
              </w:rPr>
              <w:t>5min</w:t>
            </w:r>
            <w:r w:rsidR="007861E8" w:rsidRPr="007861E8">
              <w:t xml:space="preserve"> </w:t>
            </w:r>
            <w:r w:rsidRPr="007861E8">
              <w:t xml:space="preserve">un </w:t>
            </w:r>
            <w:r w:rsidRPr="007861E8">
              <w:rPr>
                <w:b/>
                <w:bCs/>
              </w:rPr>
              <w:t>code python</w:t>
            </w:r>
            <w:r w:rsidRPr="007861E8">
              <w:t xml:space="preserve"> en lien avec la capacité numérique « </w:t>
            </w:r>
            <w:r w:rsidRPr="007861E8">
              <w:rPr>
                <w:sz w:val="20"/>
                <w:szCs w:val="20"/>
              </w:rPr>
              <w:t xml:space="preserve">Déterminer, à l’aide d’un langage de programmation, l’état final d’un système … ». </w:t>
            </w:r>
          </w:p>
        </w:tc>
      </w:tr>
    </w:tbl>
    <w:p w14:paraId="0593845F" w14:textId="77777777" w:rsidR="003A51DD" w:rsidRDefault="003A51DD" w:rsidP="007F68A1">
      <w:pPr>
        <w:spacing w:after="0" w:line="240" w:lineRule="auto"/>
      </w:pPr>
    </w:p>
    <w:p w14:paraId="6F1886F2" w14:textId="77777777" w:rsidR="00EF413D" w:rsidRDefault="00EF413D" w:rsidP="007F68A1">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228"/>
        <w:gridCol w:w="5228"/>
      </w:tblGrid>
      <w:tr w:rsidR="008979DD" w14:paraId="23240C8A" w14:textId="77777777" w:rsidTr="008979DD">
        <w:tc>
          <w:tcPr>
            <w:tcW w:w="5228" w:type="dxa"/>
            <w:shd w:val="clear" w:color="auto" w:fill="D9D9D9" w:themeFill="background1" w:themeFillShade="D9"/>
          </w:tcPr>
          <w:p w14:paraId="0E7A6937" w14:textId="1CAE504E" w:rsidR="008979DD" w:rsidRPr="008979DD" w:rsidRDefault="008979DD" w:rsidP="007F68A1">
            <w:pPr>
              <w:rPr>
                <w:sz w:val="28"/>
                <w:szCs w:val="28"/>
              </w:rPr>
            </w:pPr>
            <w:r w:rsidRPr="008979DD">
              <w:rPr>
                <w:b/>
                <w:bCs/>
                <w:sz w:val="28"/>
                <w:szCs w:val="28"/>
                <w:u w:val="single"/>
              </w:rPr>
              <w:t>Question</w:t>
            </w:r>
            <w:r w:rsidR="00A7247C">
              <w:rPr>
                <w:b/>
                <w:bCs/>
                <w:sz w:val="28"/>
                <w:szCs w:val="28"/>
                <w:u w:val="single"/>
              </w:rPr>
              <w:t>s</w:t>
            </w:r>
            <w:r w:rsidRPr="008979DD">
              <w:rPr>
                <w:b/>
                <w:bCs/>
                <w:sz w:val="28"/>
                <w:szCs w:val="28"/>
                <w:u w:val="single"/>
              </w:rPr>
              <w:t xml:space="preserve"> de cours :</w:t>
            </w:r>
          </w:p>
        </w:tc>
        <w:tc>
          <w:tcPr>
            <w:tcW w:w="5228" w:type="dxa"/>
            <w:shd w:val="clear" w:color="auto" w:fill="D9D9D9" w:themeFill="background1" w:themeFillShade="D9"/>
          </w:tcPr>
          <w:p w14:paraId="09231D34" w14:textId="50138389" w:rsidR="008979DD" w:rsidRDefault="008979DD" w:rsidP="008979DD">
            <w:pPr>
              <w:jc w:val="right"/>
              <w:rPr>
                <w:sz w:val="20"/>
                <w:szCs w:val="20"/>
              </w:rPr>
            </w:pPr>
            <w:r w:rsidRPr="00620C14">
              <w:rPr>
                <w:sz w:val="20"/>
                <w:szCs w:val="20"/>
              </w:rPr>
              <w:t xml:space="preserve">Durée : </w:t>
            </w:r>
            <m:oMath>
              <m:r>
                <w:rPr>
                  <w:rFonts w:ascii="Cambria Math" w:hAnsi="Cambria Math"/>
                  <w:sz w:val="20"/>
                  <w:szCs w:val="20"/>
                </w:rPr>
                <m:t>≈10 min</m:t>
              </m:r>
            </m:oMath>
          </w:p>
        </w:tc>
      </w:tr>
    </w:tbl>
    <w:p w14:paraId="3730171F" w14:textId="77777777" w:rsidR="00E302E8" w:rsidRDefault="00E302E8" w:rsidP="00B90F7F">
      <w:pPr>
        <w:spacing w:after="0" w:line="240" w:lineRule="auto"/>
        <w:jc w:val="both"/>
        <w:rPr>
          <w:b/>
          <w:bCs/>
          <w:sz w:val="24"/>
          <w:szCs w:val="24"/>
          <w:u w:val="single"/>
        </w:rPr>
      </w:pPr>
    </w:p>
    <w:p w14:paraId="101AB31D" w14:textId="6C028187" w:rsidR="00B90F7F" w:rsidRDefault="00B90F7F" w:rsidP="00B90F7F">
      <w:pPr>
        <w:spacing w:after="0" w:line="240" w:lineRule="auto"/>
        <w:jc w:val="both"/>
        <w:rPr>
          <w:b/>
          <w:bCs/>
          <w:sz w:val="24"/>
          <w:szCs w:val="24"/>
          <w:u w:val="single"/>
        </w:rPr>
      </w:pPr>
      <w:r w:rsidRPr="00B90F7F">
        <w:rPr>
          <w:b/>
          <w:bCs/>
          <w:sz w:val="24"/>
          <w:szCs w:val="24"/>
          <w:u w:val="single"/>
        </w:rPr>
        <w:t xml:space="preserve">Chapitre </w:t>
      </w:r>
      <w:r>
        <w:rPr>
          <w:b/>
          <w:bCs/>
          <w:sz w:val="24"/>
          <w:szCs w:val="24"/>
          <w:u w:val="single"/>
        </w:rPr>
        <w:t>SP1</w:t>
      </w:r>
      <w:r w:rsidRPr="00B90F7F">
        <w:rPr>
          <w:b/>
          <w:bCs/>
          <w:sz w:val="24"/>
          <w:szCs w:val="24"/>
          <w:u w:val="single"/>
        </w:rPr>
        <w:t> :</w:t>
      </w:r>
    </w:p>
    <w:p w14:paraId="01FEC809" w14:textId="77777777" w:rsidR="00B90F7F" w:rsidRDefault="00B90F7F" w:rsidP="00B90F7F">
      <w:pPr>
        <w:spacing w:after="0" w:line="240" w:lineRule="auto"/>
        <w:jc w:val="both"/>
        <w:rPr>
          <w:b/>
          <w:bCs/>
          <w:sz w:val="24"/>
          <w:szCs w:val="24"/>
          <w:u w:val="single"/>
        </w:rPr>
      </w:pPr>
    </w:p>
    <w:p w14:paraId="2273028B" w14:textId="77777777" w:rsidR="00B90F7F" w:rsidRPr="00E302E8" w:rsidRDefault="00B90F7F" w:rsidP="00B90F7F">
      <w:pPr>
        <w:pStyle w:val="Paragraphedeliste"/>
        <w:numPr>
          <w:ilvl w:val="0"/>
          <w:numId w:val="1"/>
        </w:numPr>
        <w:spacing w:after="0" w:line="240" w:lineRule="auto"/>
        <w:rPr>
          <w:sz w:val="24"/>
          <w:szCs w:val="24"/>
        </w:rPr>
      </w:pPr>
      <w:r w:rsidRPr="00E302E8">
        <w:rPr>
          <w:b/>
          <w:bCs/>
          <w:sz w:val="24"/>
          <w:szCs w:val="24"/>
        </w:rPr>
        <w:t>L’atome </w:t>
      </w:r>
      <w:r w:rsidRPr="00E302E8">
        <w:rPr>
          <w:sz w:val="24"/>
          <w:szCs w:val="24"/>
        </w:rPr>
        <w:t>: composition, écriture conventionnelle, masse, taille et charge de ses constituants.</w:t>
      </w:r>
    </w:p>
    <w:p w14:paraId="31355395" w14:textId="77777777" w:rsidR="00B90F7F" w:rsidRPr="00E302E8" w:rsidRDefault="00B90F7F" w:rsidP="00B90F7F">
      <w:pPr>
        <w:pStyle w:val="Paragraphedeliste"/>
        <w:ind w:left="1020" w:hanging="567"/>
        <w:rPr>
          <w:sz w:val="24"/>
          <w:szCs w:val="24"/>
        </w:rPr>
      </w:pPr>
    </w:p>
    <w:p w14:paraId="65D440BC" w14:textId="77777777" w:rsidR="00B90F7F" w:rsidRPr="00E302E8" w:rsidRDefault="00B90F7F" w:rsidP="00B90F7F">
      <w:pPr>
        <w:pStyle w:val="Paragraphedeliste"/>
        <w:numPr>
          <w:ilvl w:val="0"/>
          <w:numId w:val="1"/>
        </w:numPr>
        <w:spacing w:after="0" w:line="240" w:lineRule="auto"/>
        <w:rPr>
          <w:sz w:val="24"/>
          <w:szCs w:val="24"/>
        </w:rPr>
      </w:pPr>
      <w:r w:rsidRPr="00E302E8">
        <w:rPr>
          <w:b/>
          <w:bCs/>
          <w:sz w:val="24"/>
          <w:szCs w:val="24"/>
        </w:rPr>
        <w:t>Organisation des électrons dans l’atome</w:t>
      </w:r>
      <w:r w:rsidRPr="00E302E8">
        <w:rPr>
          <w:sz w:val="24"/>
          <w:szCs w:val="24"/>
        </w:rPr>
        <w:t> : nombres quantiques, description de l’organisation en couches et sous-couches, règle de Klechkowski, configuration électronique, électrons de valence.</w:t>
      </w:r>
    </w:p>
    <w:p w14:paraId="1AC462B0" w14:textId="77777777" w:rsidR="00B90F7F" w:rsidRPr="00E302E8" w:rsidRDefault="00B90F7F" w:rsidP="00B90F7F">
      <w:pPr>
        <w:pStyle w:val="Paragraphedeliste"/>
        <w:ind w:left="1020" w:hanging="567"/>
        <w:rPr>
          <w:sz w:val="24"/>
          <w:szCs w:val="24"/>
        </w:rPr>
      </w:pPr>
    </w:p>
    <w:p w14:paraId="7B0AAD1C" w14:textId="77777777" w:rsidR="00B90F7F" w:rsidRPr="00E302E8" w:rsidRDefault="00B90F7F" w:rsidP="00B90F7F">
      <w:pPr>
        <w:pStyle w:val="Paragraphedeliste"/>
        <w:numPr>
          <w:ilvl w:val="0"/>
          <w:numId w:val="1"/>
        </w:numPr>
        <w:spacing w:after="0" w:line="240" w:lineRule="auto"/>
        <w:jc w:val="both"/>
        <w:rPr>
          <w:sz w:val="24"/>
          <w:szCs w:val="24"/>
        </w:rPr>
      </w:pPr>
      <w:r w:rsidRPr="00E302E8">
        <w:rPr>
          <w:b/>
          <w:bCs/>
          <w:sz w:val="24"/>
          <w:szCs w:val="24"/>
        </w:rPr>
        <w:t>Classification périodique :</w:t>
      </w:r>
      <w:r w:rsidRPr="00E302E8">
        <w:rPr>
          <w:sz w:val="24"/>
          <w:szCs w:val="24"/>
        </w:rPr>
        <w:t xml:space="preserve"> forme générale du tableau périodiques, positions des différents blocs, nom des familles chimiques des colonnes 1,2, 17 et 18, lien entre configuration électronique de valence et position dans la classification périodique.</w:t>
      </w:r>
    </w:p>
    <w:p w14:paraId="49B6E6B1" w14:textId="77777777" w:rsidR="00E302E8" w:rsidRPr="00E302E8" w:rsidRDefault="00E302E8" w:rsidP="00E302E8">
      <w:pPr>
        <w:pStyle w:val="Paragraphedeliste"/>
        <w:rPr>
          <w:sz w:val="24"/>
          <w:szCs w:val="24"/>
        </w:rPr>
      </w:pPr>
    </w:p>
    <w:p w14:paraId="5F1EDC41" w14:textId="0C3ABE60" w:rsidR="00E302E8" w:rsidRDefault="00E302E8" w:rsidP="00E302E8">
      <w:pPr>
        <w:pStyle w:val="Paragraphedeliste"/>
        <w:numPr>
          <w:ilvl w:val="0"/>
          <w:numId w:val="1"/>
        </w:numPr>
        <w:spacing w:after="0" w:line="240" w:lineRule="auto"/>
        <w:rPr>
          <w:sz w:val="24"/>
          <w:szCs w:val="24"/>
        </w:rPr>
      </w:pPr>
      <w:r w:rsidRPr="00E302E8">
        <w:rPr>
          <w:b/>
          <w:bCs/>
          <w:sz w:val="24"/>
          <w:szCs w:val="24"/>
        </w:rPr>
        <w:t>Stabilités des entités chimiques :</w:t>
      </w:r>
      <w:r w:rsidRPr="00E302E8">
        <w:rPr>
          <w:sz w:val="24"/>
          <w:szCs w:val="24"/>
        </w:rPr>
        <w:t xml:space="preserve"> critère de stabilité d’un atome, « méthodes » de stabilisation d’un atome. Illustration avec des exemples.</w:t>
      </w:r>
    </w:p>
    <w:p w14:paraId="35DF203F" w14:textId="77777777" w:rsidR="00E302E8" w:rsidRPr="00E302E8" w:rsidRDefault="00E302E8" w:rsidP="00E302E8">
      <w:pPr>
        <w:spacing w:after="0" w:line="240" w:lineRule="auto"/>
        <w:rPr>
          <w:sz w:val="24"/>
          <w:szCs w:val="24"/>
        </w:rPr>
      </w:pPr>
    </w:p>
    <w:p w14:paraId="3DF49CC7" w14:textId="77777777" w:rsidR="00E302E8" w:rsidRPr="00E302E8" w:rsidRDefault="00E302E8" w:rsidP="00E302E8">
      <w:pPr>
        <w:pStyle w:val="Paragraphedeliste"/>
        <w:numPr>
          <w:ilvl w:val="0"/>
          <w:numId w:val="1"/>
        </w:numPr>
        <w:spacing w:after="0" w:line="240" w:lineRule="auto"/>
        <w:rPr>
          <w:sz w:val="24"/>
          <w:szCs w:val="24"/>
        </w:rPr>
      </w:pPr>
      <w:r w:rsidRPr="00E302E8">
        <w:rPr>
          <w:b/>
          <w:bCs/>
          <w:sz w:val="24"/>
          <w:szCs w:val="24"/>
        </w:rPr>
        <w:t>Modèle de Lewis :</w:t>
      </w:r>
      <w:r w:rsidRPr="00E302E8">
        <w:rPr>
          <w:sz w:val="24"/>
          <w:szCs w:val="24"/>
        </w:rPr>
        <w:t xml:space="preserve"> formalisme, définition de la liaison covalente, règles de l’octet et du </w:t>
      </w:r>
      <w:proofErr w:type="spellStart"/>
      <w:r w:rsidRPr="00E302E8">
        <w:rPr>
          <w:sz w:val="24"/>
          <w:szCs w:val="24"/>
        </w:rPr>
        <w:t>duet</w:t>
      </w:r>
      <w:proofErr w:type="spellEnd"/>
      <w:r w:rsidRPr="00E302E8">
        <w:rPr>
          <w:sz w:val="24"/>
          <w:szCs w:val="24"/>
        </w:rPr>
        <w:t>,</w:t>
      </w:r>
      <w:r w:rsidRPr="00E302E8">
        <w:rPr>
          <w:b/>
          <w:bCs/>
          <w:sz w:val="24"/>
          <w:szCs w:val="24"/>
        </w:rPr>
        <w:t xml:space="preserve"> </w:t>
      </w:r>
      <w:r w:rsidRPr="00E302E8">
        <w:rPr>
          <w:sz w:val="24"/>
          <w:szCs w:val="24"/>
        </w:rPr>
        <w:t xml:space="preserve">lacune électronique, </w:t>
      </w:r>
      <w:proofErr w:type="spellStart"/>
      <w:r w:rsidRPr="00E302E8">
        <w:rPr>
          <w:sz w:val="24"/>
          <w:szCs w:val="24"/>
        </w:rPr>
        <w:t>hypervalence</w:t>
      </w:r>
      <w:proofErr w:type="spellEnd"/>
      <w:r w:rsidRPr="00E302E8">
        <w:rPr>
          <w:sz w:val="24"/>
          <w:szCs w:val="24"/>
        </w:rPr>
        <w:t>, charges formelles, limites du modèle.</w:t>
      </w:r>
    </w:p>
    <w:p w14:paraId="6C2F5F19" w14:textId="77777777" w:rsidR="00E302E8" w:rsidRPr="00E302E8" w:rsidRDefault="00E302E8" w:rsidP="00E302E8">
      <w:pPr>
        <w:pStyle w:val="Paragraphedeliste"/>
        <w:ind w:left="1020" w:hanging="567"/>
        <w:rPr>
          <w:sz w:val="24"/>
          <w:szCs w:val="24"/>
        </w:rPr>
      </w:pPr>
    </w:p>
    <w:p w14:paraId="706035FE" w14:textId="77777777" w:rsidR="00E302E8" w:rsidRPr="00E302E8" w:rsidRDefault="00E302E8" w:rsidP="00E302E8">
      <w:pPr>
        <w:pStyle w:val="Paragraphedeliste"/>
        <w:numPr>
          <w:ilvl w:val="0"/>
          <w:numId w:val="1"/>
        </w:numPr>
        <w:spacing w:after="0" w:line="240" w:lineRule="auto"/>
        <w:rPr>
          <w:sz w:val="24"/>
          <w:szCs w:val="24"/>
        </w:rPr>
      </w:pPr>
      <w:r w:rsidRPr="00E302E8">
        <w:rPr>
          <w:b/>
          <w:bCs/>
          <w:sz w:val="24"/>
          <w:szCs w:val="24"/>
        </w:rPr>
        <w:t>Longueur et énergie de liaison :</w:t>
      </w:r>
      <w:r w:rsidRPr="00E302E8">
        <w:rPr>
          <w:sz w:val="24"/>
          <w:szCs w:val="24"/>
        </w:rPr>
        <w:t xml:space="preserve"> Définir la longueur de liaison, ordre de grandeur, profil énergétique (E</w:t>
      </w:r>
      <w:r w:rsidRPr="00E302E8">
        <w:rPr>
          <w:sz w:val="24"/>
          <w:szCs w:val="24"/>
          <w:vertAlign w:val="subscript"/>
        </w:rPr>
        <w:t xml:space="preserve">P </w:t>
      </w:r>
      <w:r w:rsidRPr="00E302E8">
        <w:rPr>
          <w:sz w:val="24"/>
          <w:szCs w:val="24"/>
        </w:rPr>
        <w:t>=f(d)), lien entre longueur et énergie de liaison.</w:t>
      </w:r>
    </w:p>
    <w:p w14:paraId="3604517A" w14:textId="77777777" w:rsidR="00E302E8" w:rsidRPr="00E302E8" w:rsidRDefault="00E302E8" w:rsidP="00E302E8">
      <w:pPr>
        <w:pStyle w:val="Paragraphedeliste"/>
        <w:ind w:left="1020" w:hanging="567"/>
        <w:rPr>
          <w:sz w:val="24"/>
          <w:szCs w:val="24"/>
        </w:rPr>
      </w:pPr>
    </w:p>
    <w:p w14:paraId="01A22123" w14:textId="77777777" w:rsidR="00C85565" w:rsidRPr="00C85565" w:rsidRDefault="00E302E8" w:rsidP="00C85565">
      <w:pPr>
        <w:pStyle w:val="Paragraphedeliste"/>
        <w:numPr>
          <w:ilvl w:val="0"/>
          <w:numId w:val="1"/>
        </w:numPr>
        <w:spacing w:after="0" w:line="240" w:lineRule="auto"/>
        <w:rPr>
          <w:sz w:val="24"/>
          <w:szCs w:val="24"/>
        </w:rPr>
      </w:pPr>
      <w:r w:rsidRPr="00E302E8">
        <w:rPr>
          <w:b/>
          <w:bCs/>
          <w:sz w:val="24"/>
          <w:szCs w:val="24"/>
        </w:rPr>
        <w:t>Mésomérie </w:t>
      </w:r>
      <w:r w:rsidRPr="00E302E8">
        <w:rPr>
          <w:sz w:val="24"/>
          <w:szCs w:val="24"/>
        </w:rPr>
        <w:t xml:space="preserve">: Définition et utilité des formes mésomères, formalisme, interprétation, formes mésomères prépondérantes, </w:t>
      </w:r>
      <w:r w:rsidRPr="00C85565">
        <w:rPr>
          <w:sz w:val="24"/>
          <w:szCs w:val="24"/>
        </w:rPr>
        <w:t>systèmes conjugués.</w:t>
      </w:r>
    </w:p>
    <w:p w14:paraId="43DDEB25" w14:textId="77777777" w:rsidR="00C85565" w:rsidRPr="00C85565" w:rsidRDefault="00C85565" w:rsidP="00C85565">
      <w:pPr>
        <w:pStyle w:val="Paragraphedeliste"/>
        <w:rPr>
          <w:sz w:val="24"/>
          <w:szCs w:val="24"/>
        </w:rPr>
      </w:pPr>
    </w:p>
    <w:p w14:paraId="5C7C2135" w14:textId="702CCC2F" w:rsidR="00C85565" w:rsidRPr="00C85565" w:rsidRDefault="00C85565" w:rsidP="00C85565">
      <w:pPr>
        <w:pStyle w:val="Paragraphedeliste"/>
        <w:numPr>
          <w:ilvl w:val="0"/>
          <w:numId w:val="1"/>
        </w:numPr>
        <w:spacing w:after="0" w:line="240" w:lineRule="auto"/>
        <w:rPr>
          <w:sz w:val="24"/>
          <w:szCs w:val="24"/>
        </w:rPr>
      </w:pPr>
      <w:r w:rsidRPr="00C85565">
        <w:rPr>
          <w:sz w:val="24"/>
          <w:szCs w:val="24"/>
        </w:rPr>
        <w:t xml:space="preserve"> </w:t>
      </w:r>
      <w:r w:rsidRPr="00C85565">
        <w:rPr>
          <w:b/>
          <w:bCs/>
        </w:rPr>
        <w:t>La méthode VSEPR :</w:t>
      </w:r>
      <w:r>
        <w:t xml:space="preserve"> principe de la méthode, formalisme </w:t>
      </w:r>
      <w:proofErr w:type="spellStart"/>
      <w:r>
        <w:t>AX</w:t>
      </w:r>
      <w:r w:rsidRPr="00C85565">
        <w:rPr>
          <w:vertAlign w:val="subscript"/>
        </w:rPr>
        <w:t>P</w:t>
      </w:r>
      <w:r>
        <w:t>E</w:t>
      </w:r>
      <w:r w:rsidRPr="00C85565">
        <w:rPr>
          <w:vertAlign w:val="subscript"/>
        </w:rPr>
        <w:t>q</w:t>
      </w:r>
      <w:proofErr w:type="spellEnd"/>
      <w:r>
        <w:t>, description des géométries pour </w:t>
      </w:r>
    </w:p>
    <w:p w14:paraId="2112DD00" w14:textId="77777777" w:rsidR="00C85565" w:rsidRDefault="00C85565" w:rsidP="00C85565">
      <w:pPr>
        <w:pStyle w:val="Paragraphedeliste"/>
        <w:ind w:left="1020"/>
      </w:pPr>
      <m:oMath>
        <m:r>
          <w:rPr>
            <w:rFonts w:ascii="Cambria Math" w:hAnsi="Cambria Math"/>
          </w:rPr>
          <m:t>p+q ≤4</m:t>
        </m:r>
      </m:oMath>
      <w:r w:rsidRPr="00EE6C19">
        <w:rPr>
          <w:rFonts w:eastAsiaTheme="minorEastAsia"/>
          <w:iCs/>
        </w:rPr>
        <w:t>, déformations possibles</w:t>
      </w:r>
      <w:r>
        <w:t>.</w:t>
      </w:r>
    </w:p>
    <w:p w14:paraId="3427BA4B" w14:textId="77777777" w:rsidR="00F11406" w:rsidRDefault="00F11406" w:rsidP="00C85565">
      <w:pPr>
        <w:pStyle w:val="Paragraphedeliste"/>
        <w:ind w:left="1020"/>
      </w:pPr>
    </w:p>
    <w:p w14:paraId="02F73D10" w14:textId="0B4732FD" w:rsidR="00F11406" w:rsidRDefault="00F11406" w:rsidP="001A617C">
      <w:pPr>
        <w:pStyle w:val="Paragraphedeliste"/>
        <w:numPr>
          <w:ilvl w:val="0"/>
          <w:numId w:val="1"/>
        </w:numPr>
        <w:spacing w:after="0" w:line="240" w:lineRule="auto"/>
      </w:pPr>
      <w:r>
        <w:rPr>
          <w:b/>
          <w:bCs/>
        </w:rPr>
        <w:t>Polarité des molécules</w:t>
      </w:r>
      <w:r w:rsidRPr="00C85565">
        <w:rPr>
          <w:b/>
          <w:bCs/>
        </w:rPr>
        <w:t> :</w:t>
      </w:r>
      <w:r>
        <w:t xml:space="preserve"> </w:t>
      </w:r>
      <w:r w:rsidR="001A617C">
        <w:t>él</w:t>
      </w:r>
      <w:r>
        <w:t>ectronégativité</w:t>
      </w:r>
      <w:r w:rsidR="001A617C">
        <w:t xml:space="preserve"> (définition, évolution dans la classification périodique),</w:t>
      </w:r>
      <w:r w:rsidR="0052081E">
        <w:t xml:space="preserve"> liaisons apolaires/polaires/ioniques,</w:t>
      </w:r>
      <w:r w:rsidR="001A617C">
        <w:t xml:space="preserve"> moment dipolaire d’une liaison, moment dipolaire d’une molécule.</w:t>
      </w:r>
    </w:p>
    <w:p w14:paraId="580F53C3" w14:textId="6BB50E4E" w:rsidR="00C85565" w:rsidRPr="00C85565" w:rsidRDefault="00C85565" w:rsidP="00C85565">
      <w:pPr>
        <w:spacing w:after="0" w:line="240" w:lineRule="auto"/>
        <w:rPr>
          <w:sz w:val="24"/>
          <w:szCs w:val="24"/>
        </w:rPr>
      </w:pPr>
    </w:p>
    <w:p w14:paraId="54963B6F" w14:textId="77777777" w:rsidR="00B90F7F" w:rsidRDefault="00B90F7F" w:rsidP="00B90F7F">
      <w:pPr>
        <w:spacing w:after="0" w:line="240" w:lineRule="auto"/>
        <w:jc w:val="both"/>
        <w:rPr>
          <w:b/>
          <w:bCs/>
          <w:sz w:val="24"/>
          <w:szCs w:val="24"/>
          <w:u w:val="single"/>
        </w:rPr>
      </w:pPr>
    </w:p>
    <w:p w14:paraId="460A0541" w14:textId="77777777" w:rsidR="00C85565" w:rsidRDefault="00C85565" w:rsidP="00B90F7F">
      <w:pPr>
        <w:spacing w:after="0" w:line="240" w:lineRule="auto"/>
        <w:jc w:val="both"/>
        <w:rPr>
          <w:b/>
          <w:bCs/>
          <w:sz w:val="24"/>
          <w:szCs w:val="24"/>
          <w:u w:val="single"/>
        </w:rPr>
      </w:pPr>
    </w:p>
    <w:p w14:paraId="085EE4FC" w14:textId="77777777" w:rsidR="00E302E8" w:rsidRPr="00B90F7F" w:rsidRDefault="00E302E8" w:rsidP="00B90F7F">
      <w:pPr>
        <w:spacing w:after="0" w:line="240" w:lineRule="auto"/>
        <w:jc w:val="both"/>
        <w:rPr>
          <w:b/>
          <w:bCs/>
          <w:sz w:val="24"/>
          <w:szCs w:val="24"/>
          <w:u w:val="single"/>
        </w:rPr>
      </w:pPr>
    </w:p>
    <w:p w14:paraId="590BCA0C" w14:textId="7B354A07" w:rsidR="00EF413D" w:rsidRDefault="00EF413D">
      <w:pPr>
        <w:rPr>
          <w:b/>
          <w:bCs/>
          <w:u w:val="single"/>
        </w:rPr>
      </w:pPr>
      <w:r>
        <w:rPr>
          <w:b/>
          <w:bCs/>
          <w:u w:val="single"/>
        </w:rPr>
        <w:br w:type="page"/>
      </w:r>
    </w:p>
    <w:tbl>
      <w:tblPr>
        <w:tblStyle w:val="Grilledutableau"/>
        <w:tblW w:w="10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41"/>
        <w:gridCol w:w="5271"/>
        <w:gridCol w:w="2483"/>
      </w:tblGrid>
      <w:tr w:rsidR="00620C14" w14:paraId="3BD1AF08" w14:textId="77777777" w:rsidTr="00A7247C">
        <w:trPr>
          <w:trHeight w:val="358"/>
        </w:trPr>
        <w:tc>
          <w:tcPr>
            <w:tcW w:w="2841" w:type="dxa"/>
            <w:shd w:val="clear" w:color="auto" w:fill="D9D9D9" w:themeFill="background1" w:themeFillShade="D9"/>
          </w:tcPr>
          <w:p w14:paraId="4D23828D" w14:textId="4A4FAA57" w:rsidR="00620C14" w:rsidRPr="008979DD" w:rsidRDefault="00620C14" w:rsidP="00FD2FF1">
            <w:pPr>
              <w:rPr>
                <w:b/>
                <w:bCs/>
                <w:sz w:val="28"/>
                <w:szCs w:val="28"/>
                <w:u w:val="single"/>
              </w:rPr>
            </w:pPr>
            <w:r w:rsidRPr="008979DD">
              <w:rPr>
                <w:b/>
                <w:bCs/>
                <w:sz w:val="28"/>
                <w:szCs w:val="28"/>
                <w:u w:val="single"/>
              </w:rPr>
              <w:lastRenderedPageBreak/>
              <w:t xml:space="preserve">Exercices : </w:t>
            </w:r>
          </w:p>
        </w:tc>
        <w:tc>
          <w:tcPr>
            <w:tcW w:w="5271" w:type="dxa"/>
            <w:shd w:val="clear" w:color="auto" w:fill="D9D9D9" w:themeFill="background1" w:themeFillShade="D9"/>
          </w:tcPr>
          <w:p w14:paraId="665432E3" w14:textId="77777777" w:rsidR="00620C14" w:rsidRDefault="00620C14" w:rsidP="00FD2FF1">
            <w:pPr>
              <w:rPr>
                <w:b/>
                <w:bCs/>
                <w:u w:val="single"/>
              </w:rPr>
            </w:pPr>
          </w:p>
        </w:tc>
        <w:tc>
          <w:tcPr>
            <w:tcW w:w="2483" w:type="dxa"/>
            <w:shd w:val="clear" w:color="auto" w:fill="D9D9D9" w:themeFill="background1" w:themeFillShade="D9"/>
            <w:vAlign w:val="center"/>
          </w:tcPr>
          <w:p w14:paraId="4215079B" w14:textId="01F3DF5B" w:rsidR="00620C14" w:rsidRPr="007F68A1" w:rsidRDefault="00620C14" w:rsidP="00620C14">
            <w:pPr>
              <w:rPr>
                <w:sz w:val="20"/>
                <w:szCs w:val="20"/>
              </w:rPr>
            </w:pPr>
            <w:r w:rsidRPr="007F68A1">
              <w:rPr>
                <w:sz w:val="20"/>
                <w:szCs w:val="20"/>
              </w:rPr>
              <w:t xml:space="preserve">Durée : </w:t>
            </w:r>
            <m:oMath>
              <m:r>
                <w:rPr>
                  <w:rFonts w:ascii="Cambria Math" w:hAnsi="Cambria Math"/>
                  <w:sz w:val="20"/>
                  <w:szCs w:val="20"/>
                </w:rPr>
                <m:t>≈40 min</m:t>
              </m:r>
            </m:oMath>
          </w:p>
        </w:tc>
      </w:tr>
    </w:tbl>
    <w:p w14:paraId="4665DEDC" w14:textId="77777777" w:rsidR="007F68A1" w:rsidRDefault="007F68A1" w:rsidP="007F68A1">
      <w:pPr>
        <w:spacing w:after="0" w:line="240" w:lineRule="auto"/>
        <w:rPr>
          <w:b/>
          <w:bCs/>
          <w:u w:val="single"/>
        </w:rPr>
      </w:pPr>
    </w:p>
    <w:p w14:paraId="7DDFC659" w14:textId="343A1D11" w:rsidR="00F236A4" w:rsidRPr="00C85565" w:rsidRDefault="00EF413D" w:rsidP="00C85565">
      <w:pPr>
        <w:spacing w:after="0" w:line="240" w:lineRule="auto"/>
        <w:rPr>
          <w:i/>
          <w:iCs/>
        </w:rPr>
      </w:pPr>
      <w:r w:rsidRPr="008979DD">
        <w:rPr>
          <w:i/>
          <w:iCs/>
        </w:rPr>
        <w:t>Les exercices proposés par les examinateurs porteront sur les compétences suivantes :</w:t>
      </w:r>
    </w:p>
    <w:p w14:paraId="5F915D10" w14:textId="77777777" w:rsidR="00620C14" w:rsidRDefault="00620C14" w:rsidP="00620C14">
      <w:pPr>
        <w:pStyle w:val="Paragraphedeliste"/>
      </w:pPr>
    </w:p>
    <w:p w14:paraId="1CB46643" w14:textId="26C7ECF3" w:rsidR="00B90F7F" w:rsidRPr="00B90F7F" w:rsidRDefault="00B90F7F" w:rsidP="00B90F7F">
      <w:pPr>
        <w:pStyle w:val="Paragraphedeliste"/>
        <w:numPr>
          <w:ilvl w:val="0"/>
          <w:numId w:val="3"/>
        </w:numPr>
        <w:spacing w:after="0" w:line="240" w:lineRule="auto"/>
        <w:rPr>
          <w:sz w:val="24"/>
          <w:szCs w:val="24"/>
        </w:rPr>
      </w:pPr>
      <w:r w:rsidRPr="00B90F7F">
        <w:rPr>
          <w:sz w:val="24"/>
          <w:szCs w:val="24"/>
        </w:rPr>
        <w:t>Etablir la configuration électronique d’un atome à partir</w:t>
      </w:r>
      <w:r w:rsidR="00F76A39">
        <w:rPr>
          <w:sz w:val="24"/>
          <w:szCs w:val="24"/>
        </w:rPr>
        <w:t xml:space="preserve"> de son numéro atomique </w:t>
      </w:r>
      <w:r w:rsidRPr="00B90F7F">
        <w:rPr>
          <w:sz w:val="24"/>
          <w:szCs w:val="24"/>
        </w:rPr>
        <w:t>et identifier les électrons de valence</w:t>
      </w:r>
    </w:p>
    <w:p w14:paraId="264C8836" w14:textId="77777777" w:rsidR="00B90F7F" w:rsidRPr="00B90F7F" w:rsidRDefault="00B90F7F" w:rsidP="00B90F7F">
      <w:pPr>
        <w:pStyle w:val="Paragraphedeliste"/>
        <w:spacing w:after="0" w:line="240" w:lineRule="auto"/>
        <w:ind w:left="1080"/>
        <w:rPr>
          <w:sz w:val="24"/>
          <w:szCs w:val="24"/>
        </w:rPr>
      </w:pPr>
    </w:p>
    <w:p w14:paraId="512FB3BD" w14:textId="71AD39C0" w:rsidR="00B90F7F" w:rsidRDefault="00B90F7F" w:rsidP="00B90F7F">
      <w:pPr>
        <w:pStyle w:val="Paragraphedeliste"/>
        <w:numPr>
          <w:ilvl w:val="0"/>
          <w:numId w:val="3"/>
        </w:numPr>
        <w:spacing w:after="0" w:line="240" w:lineRule="auto"/>
        <w:rPr>
          <w:sz w:val="24"/>
          <w:szCs w:val="24"/>
        </w:rPr>
      </w:pPr>
      <w:r w:rsidRPr="00B90F7F">
        <w:rPr>
          <w:sz w:val="24"/>
          <w:szCs w:val="24"/>
        </w:rPr>
        <w:t>Identifier la position d’un élément dans la classification périodique à partir de sa configuration électronique de valence</w:t>
      </w:r>
      <w:r w:rsidR="00E302E8">
        <w:rPr>
          <w:sz w:val="24"/>
          <w:szCs w:val="24"/>
        </w:rPr>
        <w:t xml:space="preserve"> et inversement.</w:t>
      </w:r>
    </w:p>
    <w:p w14:paraId="37EB0EEA" w14:textId="77777777" w:rsidR="00E302E8" w:rsidRPr="00E302E8" w:rsidRDefault="00E302E8" w:rsidP="00E302E8">
      <w:pPr>
        <w:pStyle w:val="Paragraphedeliste"/>
        <w:rPr>
          <w:sz w:val="24"/>
          <w:szCs w:val="24"/>
        </w:rPr>
      </w:pPr>
    </w:p>
    <w:p w14:paraId="4FBD9ADE" w14:textId="3F294B2C" w:rsidR="00E302E8" w:rsidRDefault="00E302E8" w:rsidP="00B90F7F">
      <w:pPr>
        <w:pStyle w:val="Paragraphedeliste"/>
        <w:numPr>
          <w:ilvl w:val="0"/>
          <w:numId w:val="3"/>
        </w:numPr>
        <w:spacing w:after="0" w:line="240" w:lineRule="auto"/>
        <w:rPr>
          <w:sz w:val="24"/>
          <w:szCs w:val="24"/>
        </w:rPr>
      </w:pPr>
      <w:r>
        <w:rPr>
          <w:sz w:val="24"/>
          <w:szCs w:val="24"/>
        </w:rPr>
        <w:t>Etablir un ou des schémas de Lewis pour une molécule ou un ion polyatomique.</w:t>
      </w:r>
    </w:p>
    <w:p w14:paraId="37C9AAF9" w14:textId="77777777" w:rsidR="00E302E8" w:rsidRPr="00E302E8" w:rsidRDefault="00E302E8" w:rsidP="00E302E8">
      <w:pPr>
        <w:pStyle w:val="Paragraphedeliste"/>
        <w:rPr>
          <w:sz w:val="24"/>
          <w:szCs w:val="24"/>
        </w:rPr>
      </w:pPr>
    </w:p>
    <w:p w14:paraId="3011D94A" w14:textId="1EBC5372" w:rsidR="00E302E8" w:rsidRDefault="00E302E8" w:rsidP="00B90F7F">
      <w:pPr>
        <w:pStyle w:val="Paragraphedeliste"/>
        <w:numPr>
          <w:ilvl w:val="0"/>
          <w:numId w:val="3"/>
        </w:numPr>
        <w:spacing w:after="0" w:line="240" w:lineRule="auto"/>
        <w:rPr>
          <w:sz w:val="24"/>
          <w:szCs w:val="24"/>
        </w:rPr>
      </w:pPr>
      <w:r>
        <w:rPr>
          <w:sz w:val="24"/>
          <w:szCs w:val="24"/>
        </w:rPr>
        <w:t xml:space="preserve">Interpréter l’existences de formes mésomères. Identifier les formes mésomères prépondérantes. </w:t>
      </w:r>
    </w:p>
    <w:p w14:paraId="24957B4E" w14:textId="77777777" w:rsidR="00F76A39" w:rsidRPr="00F76A39" w:rsidRDefault="00F76A39" w:rsidP="00F76A39">
      <w:pPr>
        <w:pStyle w:val="Paragraphedeliste"/>
        <w:rPr>
          <w:sz w:val="24"/>
          <w:szCs w:val="24"/>
        </w:rPr>
      </w:pPr>
    </w:p>
    <w:p w14:paraId="48D04F5F" w14:textId="715F03A3" w:rsidR="00B90F7F" w:rsidRDefault="00F76A39" w:rsidP="00B90F7F">
      <w:pPr>
        <w:pStyle w:val="Paragraphedeliste"/>
        <w:numPr>
          <w:ilvl w:val="0"/>
          <w:numId w:val="3"/>
        </w:numPr>
        <w:spacing w:after="0" w:line="240" w:lineRule="auto"/>
        <w:rPr>
          <w:sz w:val="24"/>
          <w:szCs w:val="24"/>
        </w:rPr>
      </w:pPr>
      <w:r>
        <w:rPr>
          <w:sz w:val="24"/>
          <w:szCs w:val="24"/>
        </w:rPr>
        <w:t>Identifier la présence de systèmes conjugués.</w:t>
      </w:r>
    </w:p>
    <w:p w14:paraId="7444656A" w14:textId="77777777" w:rsidR="00F76A39" w:rsidRPr="00F76A39" w:rsidRDefault="00F76A39" w:rsidP="00F76A39">
      <w:pPr>
        <w:pStyle w:val="Paragraphedeliste"/>
        <w:rPr>
          <w:sz w:val="24"/>
          <w:szCs w:val="24"/>
        </w:rPr>
      </w:pPr>
    </w:p>
    <w:p w14:paraId="69AB8619" w14:textId="5ED9F088" w:rsidR="00F76A39" w:rsidRDefault="00F76A39" w:rsidP="00B90F7F">
      <w:pPr>
        <w:pStyle w:val="Paragraphedeliste"/>
        <w:numPr>
          <w:ilvl w:val="0"/>
          <w:numId w:val="3"/>
        </w:numPr>
        <w:spacing w:after="0" w:line="240" w:lineRule="auto"/>
        <w:rPr>
          <w:sz w:val="24"/>
          <w:szCs w:val="24"/>
        </w:rPr>
      </w:pPr>
      <w:r>
        <w:rPr>
          <w:sz w:val="24"/>
          <w:szCs w:val="24"/>
        </w:rPr>
        <w:t>Appliquer la méthode VSEPR pour déterminer la géométrie d’une molécule et estimer la valeur des angles de liaison. Anticiper et/ou interpréter les déformations éventuelles par rapport aux géométries idéales.</w:t>
      </w:r>
    </w:p>
    <w:p w14:paraId="0FB1F559" w14:textId="77777777" w:rsidR="003A51DD" w:rsidRDefault="003A51DD" w:rsidP="003A51DD">
      <w:pPr>
        <w:pStyle w:val="Paragraphedeliste"/>
        <w:rPr>
          <w:sz w:val="24"/>
          <w:szCs w:val="24"/>
        </w:rPr>
      </w:pPr>
    </w:p>
    <w:p w14:paraId="1B793880" w14:textId="4F9BD1F2" w:rsidR="0052081E" w:rsidRDefault="0052081E" w:rsidP="0052081E">
      <w:pPr>
        <w:pStyle w:val="Paragraphedeliste"/>
        <w:numPr>
          <w:ilvl w:val="0"/>
          <w:numId w:val="3"/>
        </w:numPr>
        <w:spacing w:after="0" w:line="240" w:lineRule="auto"/>
        <w:rPr>
          <w:sz w:val="24"/>
          <w:szCs w:val="24"/>
        </w:rPr>
      </w:pPr>
      <w:r>
        <w:rPr>
          <w:sz w:val="24"/>
          <w:szCs w:val="24"/>
        </w:rPr>
        <w:t>Déterminer la nature apolaire, polaire ou ionique d’une liaison chimique par comparaison des électronégativités.</w:t>
      </w:r>
    </w:p>
    <w:p w14:paraId="180A645C" w14:textId="77777777" w:rsidR="0052081E" w:rsidRPr="00F43B44" w:rsidRDefault="0052081E" w:rsidP="00F43B44">
      <w:pPr>
        <w:rPr>
          <w:sz w:val="24"/>
          <w:szCs w:val="24"/>
        </w:rPr>
      </w:pPr>
    </w:p>
    <w:p w14:paraId="12BA8198" w14:textId="1DC3E961" w:rsidR="0052081E" w:rsidRDefault="0052081E" w:rsidP="0052081E">
      <w:pPr>
        <w:pStyle w:val="Paragraphedeliste"/>
        <w:numPr>
          <w:ilvl w:val="0"/>
          <w:numId w:val="3"/>
        </w:numPr>
        <w:spacing w:after="0" w:line="240" w:lineRule="auto"/>
        <w:rPr>
          <w:sz w:val="24"/>
          <w:szCs w:val="24"/>
        </w:rPr>
      </w:pPr>
      <w:r>
        <w:rPr>
          <w:sz w:val="24"/>
          <w:szCs w:val="24"/>
        </w:rPr>
        <w:t>Déterminer la nature polaire ou apolaire d’une molécule. Identifier la direction et le sens du vecteur moment dipolaire d’une molécule.</w:t>
      </w:r>
    </w:p>
    <w:p w14:paraId="59AEE56D" w14:textId="77777777" w:rsidR="0052081E" w:rsidRPr="0052081E" w:rsidRDefault="0052081E" w:rsidP="0052081E">
      <w:pPr>
        <w:spacing w:after="0" w:line="240" w:lineRule="auto"/>
        <w:rPr>
          <w:sz w:val="24"/>
          <w:szCs w:val="24"/>
        </w:rPr>
      </w:pPr>
    </w:p>
    <w:p w14:paraId="09BFBB18" w14:textId="77777777" w:rsidR="0052081E" w:rsidRPr="003A51DD" w:rsidRDefault="0052081E" w:rsidP="003A51DD">
      <w:pPr>
        <w:pStyle w:val="Paragraphedeliste"/>
        <w:rPr>
          <w:sz w:val="24"/>
          <w:szCs w:val="24"/>
        </w:rPr>
      </w:pPr>
    </w:p>
    <w:p w14:paraId="17E03730" w14:textId="77A80C09" w:rsidR="003A51DD" w:rsidRDefault="003A51DD">
      <w:pPr>
        <w:rPr>
          <w:sz w:val="24"/>
          <w:szCs w:val="24"/>
        </w:rPr>
      </w:pPr>
    </w:p>
    <w:sectPr w:rsidR="003A51DD" w:rsidSect="008979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6308"/>
    <w:multiLevelType w:val="hybridMultilevel"/>
    <w:tmpl w:val="8918CCB0"/>
    <w:lvl w:ilvl="0" w:tplc="88FA76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A21F86"/>
    <w:multiLevelType w:val="hybridMultilevel"/>
    <w:tmpl w:val="B194ED50"/>
    <w:lvl w:ilvl="0" w:tplc="919A6A84">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17297A"/>
    <w:multiLevelType w:val="hybridMultilevel"/>
    <w:tmpl w:val="83E66F7C"/>
    <w:lvl w:ilvl="0" w:tplc="48207760">
      <w:start w:val="1"/>
      <w:numFmt w:val="decimal"/>
      <w:lvlText w:val="Q%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1A2A16"/>
    <w:multiLevelType w:val="hybridMultilevel"/>
    <w:tmpl w:val="BFD60940"/>
    <w:lvl w:ilvl="0" w:tplc="5FE8DCC8">
      <w:start w:val="1"/>
      <w:numFmt w:val="decimal"/>
      <w:lvlText w:val="Q%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9378743">
    <w:abstractNumId w:val="3"/>
  </w:num>
  <w:num w:numId="2" w16cid:durableId="1538002172">
    <w:abstractNumId w:val="0"/>
  </w:num>
  <w:num w:numId="3" w16cid:durableId="1350646105">
    <w:abstractNumId w:val="1"/>
  </w:num>
  <w:num w:numId="4" w16cid:durableId="204369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A1"/>
    <w:rsid w:val="000853D8"/>
    <w:rsid w:val="00146BB1"/>
    <w:rsid w:val="001A617C"/>
    <w:rsid w:val="003A51DD"/>
    <w:rsid w:val="003E1442"/>
    <w:rsid w:val="003F0620"/>
    <w:rsid w:val="004D0401"/>
    <w:rsid w:val="0052081E"/>
    <w:rsid w:val="00620C14"/>
    <w:rsid w:val="007861E8"/>
    <w:rsid w:val="007F68A1"/>
    <w:rsid w:val="008162A9"/>
    <w:rsid w:val="008979DD"/>
    <w:rsid w:val="0093771E"/>
    <w:rsid w:val="009765B1"/>
    <w:rsid w:val="009A1C46"/>
    <w:rsid w:val="00A275FC"/>
    <w:rsid w:val="00A65464"/>
    <w:rsid w:val="00A7247C"/>
    <w:rsid w:val="00B90F7F"/>
    <w:rsid w:val="00C544A1"/>
    <w:rsid w:val="00C85565"/>
    <w:rsid w:val="00D17CDC"/>
    <w:rsid w:val="00E302E8"/>
    <w:rsid w:val="00E55EBE"/>
    <w:rsid w:val="00E866BD"/>
    <w:rsid w:val="00EF413D"/>
    <w:rsid w:val="00F11406"/>
    <w:rsid w:val="00F236A4"/>
    <w:rsid w:val="00F43B44"/>
    <w:rsid w:val="00F70579"/>
    <w:rsid w:val="00F76A39"/>
    <w:rsid w:val="00F9607B"/>
    <w:rsid w:val="00FC6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C175"/>
  <w15:chartTrackingRefBased/>
  <w15:docId w15:val="{D5778BFD-B7F5-4372-BF56-FE0DC518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6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F6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F68A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F68A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F68A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F68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68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68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68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68A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F68A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F68A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F68A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F68A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F68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68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68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68A1"/>
    <w:rPr>
      <w:rFonts w:eastAsiaTheme="majorEastAsia" w:cstheme="majorBidi"/>
      <w:color w:val="272727" w:themeColor="text1" w:themeTint="D8"/>
    </w:rPr>
  </w:style>
  <w:style w:type="paragraph" w:styleId="Titre">
    <w:name w:val="Title"/>
    <w:basedOn w:val="Normal"/>
    <w:next w:val="Normal"/>
    <w:link w:val="TitreCar"/>
    <w:uiPriority w:val="10"/>
    <w:qFormat/>
    <w:rsid w:val="007F6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68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68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68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68A1"/>
    <w:pPr>
      <w:spacing w:before="160"/>
      <w:jc w:val="center"/>
    </w:pPr>
    <w:rPr>
      <w:i/>
      <w:iCs/>
      <w:color w:val="404040" w:themeColor="text1" w:themeTint="BF"/>
    </w:rPr>
  </w:style>
  <w:style w:type="character" w:customStyle="1" w:styleId="CitationCar">
    <w:name w:val="Citation Car"/>
    <w:basedOn w:val="Policepardfaut"/>
    <w:link w:val="Citation"/>
    <w:uiPriority w:val="29"/>
    <w:rsid w:val="007F68A1"/>
    <w:rPr>
      <w:i/>
      <w:iCs/>
      <w:color w:val="404040" w:themeColor="text1" w:themeTint="BF"/>
    </w:rPr>
  </w:style>
  <w:style w:type="paragraph" w:styleId="Paragraphedeliste">
    <w:name w:val="List Paragraph"/>
    <w:basedOn w:val="Normal"/>
    <w:uiPriority w:val="34"/>
    <w:qFormat/>
    <w:rsid w:val="007F68A1"/>
    <w:pPr>
      <w:ind w:left="720"/>
      <w:contextualSpacing/>
    </w:pPr>
  </w:style>
  <w:style w:type="character" w:styleId="Accentuationintense">
    <w:name w:val="Intense Emphasis"/>
    <w:basedOn w:val="Policepardfaut"/>
    <w:uiPriority w:val="21"/>
    <w:qFormat/>
    <w:rsid w:val="007F68A1"/>
    <w:rPr>
      <w:i/>
      <w:iCs/>
      <w:color w:val="2F5496" w:themeColor="accent1" w:themeShade="BF"/>
    </w:rPr>
  </w:style>
  <w:style w:type="paragraph" w:styleId="Citationintense">
    <w:name w:val="Intense Quote"/>
    <w:basedOn w:val="Normal"/>
    <w:next w:val="Normal"/>
    <w:link w:val="CitationintenseCar"/>
    <w:uiPriority w:val="30"/>
    <w:qFormat/>
    <w:rsid w:val="007F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F68A1"/>
    <w:rPr>
      <w:i/>
      <w:iCs/>
      <w:color w:val="2F5496" w:themeColor="accent1" w:themeShade="BF"/>
    </w:rPr>
  </w:style>
  <w:style w:type="character" w:styleId="Rfrenceintense">
    <w:name w:val="Intense Reference"/>
    <w:basedOn w:val="Policepardfaut"/>
    <w:uiPriority w:val="32"/>
    <w:qFormat/>
    <w:rsid w:val="007F68A1"/>
    <w:rPr>
      <w:b/>
      <w:bCs/>
      <w:smallCaps/>
      <w:color w:val="2F5496" w:themeColor="accent1" w:themeShade="BF"/>
      <w:spacing w:val="5"/>
    </w:rPr>
  </w:style>
  <w:style w:type="table" w:styleId="Grilledutableau">
    <w:name w:val="Table Grid"/>
    <w:basedOn w:val="TableauNormal"/>
    <w:uiPriority w:val="39"/>
    <w:rsid w:val="007F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F68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Iban Azcarate</dc:creator>
  <cp:keywords/>
  <dc:description/>
  <cp:lastModifiedBy>Iban Azcarate</cp:lastModifiedBy>
  <cp:revision>3</cp:revision>
  <cp:lastPrinted>2025-10-03T19:28:00Z</cp:lastPrinted>
  <dcterms:created xsi:type="dcterms:W3CDTF">2025-10-11T06:37:00Z</dcterms:created>
  <dcterms:modified xsi:type="dcterms:W3CDTF">2025-10-11T06:37:00Z</dcterms:modified>
</cp:coreProperties>
</file>